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2B8E" w:rsidRDefault="00DA2B8E">
      <w:pPr>
        <w:pStyle w:val="berschrift1"/>
        <w:rPr>
          <w:rFonts w:ascii="Arial" w:hAnsi="Arial" w:cs="Arial"/>
        </w:rPr>
      </w:pPr>
    </w:p>
    <w:p w:rsidR="00DA2B8E" w:rsidRPr="00312192" w:rsidRDefault="00595F10">
      <w:pPr>
        <w:pStyle w:val="berschrift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PANO-</w:t>
      </w:r>
      <w:r w:rsidR="00DA2B8E" w:rsidRPr="00312192">
        <w:rPr>
          <w:rFonts w:ascii="Arial" w:hAnsi="Arial" w:cs="Arial"/>
          <w:bCs/>
          <w:lang w:val="en-GB"/>
        </w:rPr>
        <w:t xml:space="preserve">Series – </w:t>
      </w:r>
      <w:r>
        <w:rPr>
          <w:rFonts w:ascii="Arial" w:hAnsi="Arial" w:cs="Arial"/>
          <w:bCs/>
          <w:lang w:val="en-GB"/>
        </w:rPr>
        <w:t>Line Source Unit</w:t>
      </w:r>
    </w:p>
    <w:p w:rsidR="00DA2B8E" w:rsidRDefault="00EB34C5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QL 1215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Pr="00FA05EC" w:rsidRDefault="003154DD" w:rsidP="00FA05EC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FA05EC">
        <w:rPr>
          <w:rFonts w:ascii="Arial" w:hAnsi="Arial" w:cs="Arial"/>
        </w:rPr>
        <w:t>Passive</w:t>
      </w:r>
      <w:r w:rsidR="008615C4" w:rsidRPr="00FA05EC">
        <w:rPr>
          <w:rFonts w:ascii="Arial" w:hAnsi="Arial" w:cs="Arial"/>
        </w:rPr>
        <w:t>s</w:t>
      </w:r>
      <w:r w:rsidRPr="00FA05EC">
        <w:rPr>
          <w:rFonts w:ascii="Arial" w:hAnsi="Arial" w:cs="Arial"/>
        </w:rPr>
        <w:t xml:space="preserve"> 2</w:t>
      </w:r>
      <w:r w:rsidR="00DA2B8E" w:rsidRPr="00FA05EC">
        <w:rPr>
          <w:rFonts w:ascii="Arial" w:hAnsi="Arial" w:cs="Arial"/>
        </w:rPr>
        <w:t xml:space="preserve">-Wege </w:t>
      </w:r>
      <w:r w:rsidR="008615C4" w:rsidRPr="00FA05EC">
        <w:rPr>
          <w:rFonts w:ascii="Arial" w:hAnsi="Arial" w:cs="Arial"/>
        </w:rPr>
        <w:t xml:space="preserve">Line Source Element </w:t>
      </w:r>
      <w:r w:rsidR="00EB34C5">
        <w:rPr>
          <w:rFonts w:ascii="Arial" w:hAnsi="Arial" w:cs="Arial"/>
        </w:rPr>
        <w:t>mit</w:t>
      </w:r>
      <w:r w:rsidR="00C84246" w:rsidRPr="00FA05EC">
        <w:rPr>
          <w:rFonts w:ascii="Arial" w:hAnsi="Arial" w:cs="Arial"/>
        </w:rPr>
        <w:t xml:space="preserve"> </w:t>
      </w:r>
      <w:r w:rsidR="00DA2B8E" w:rsidRPr="00FA05EC">
        <w:rPr>
          <w:rFonts w:ascii="Arial" w:hAnsi="Arial" w:cs="Arial"/>
        </w:rPr>
        <w:t>integrierter Frequenzweiche</w:t>
      </w:r>
      <w:r w:rsidR="00EB34C5">
        <w:rPr>
          <w:rFonts w:ascii="Arial" w:hAnsi="Arial" w:cs="Arial"/>
        </w:rPr>
        <w:t xml:space="preserve"> und neuartigem AQF </w:t>
      </w:r>
      <w:r w:rsidR="00595F10" w:rsidRPr="00FA05EC">
        <w:rPr>
          <w:rFonts w:ascii="Arial" w:hAnsi="Arial" w:cs="Arial"/>
        </w:rPr>
        <w:t xml:space="preserve">Akustikfilter, welcher Kohärenz und akustische Kopplung </w:t>
      </w:r>
      <w:r w:rsidR="00B71841" w:rsidRPr="00FA05EC">
        <w:rPr>
          <w:rFonts w:ascii="Arial" w:hAnsi="Arial" w:cs="Arial"/>
        </w:rPr>
        <w:t>einer Linienquelle signifikant verbessert</w:t>
      </w:r>
      <w:r w:rsidR="00F23F1A">
        <w:rPr>
          <w:rFonts w:ascii="Arial" w:hAnsi="Arial" w:cs="Arial"/>
        </w:rPr>
        <w:t>.</w:t>
      </w:r>
      <w:r w:rsidR="00FA05EC">
        <w:rPr>
          <w:rFonts w:ascii="Arial" w:hAnsi="Arial" w:cs="Arial"/>
        </w:rPr>
        <w:t xml:space="preserve"> </w:t>
      </w:r>
      <w:r w:rsidR="00B71841" w:rsidRPr="00FA05EC">
        <w:rPr>
          <w:rFonts w:ascii="Arial" w:hAnsi="Arial" w:cs="Arial"/>
        </w:rPr>
        <w:t xml:space="preserve">Die </w:t>
      </w:r>
      <w:r w:rsidR="00EB34C5">
        <w:rPr>
          <w:rFonts w:ascii="Arial" w:hAnsi="Arial" w:cs="Arial"/>
        </w:rPr>
        <w:t>QL 1215</w:t>
      </w:r>
      <w:r w:rsidR="00B71841" w:rsidRPr="00FA05EC">
        <w:rPr>
          <w:rFonts w:ascii="Arial" w:hAnsi="Arial" w:cs="Arial"/>
        </w:rPr>
        <w:t xml:space="preserve"> ist </w:t>
      </w:r>
      <w:r w:rsidR="0065103F">
        <w:rPr>
          <w:rFonts w:ascii="Arial" w:hAnsi="Arial" w:cs="Arial"/>
        </w:rPr>
        <w:t xml:space="preserve">ein </w:t>
      </w:r>
      <w:proofErr w:type="spellStart"/>
      <w:r w:rsidR="0065103F">
        <w:rPr>
          <w:rFonts w:ascii="Arial" w:hAnsi="Arial" w:cs="Arial"/>
        </w:rPr>
        <w:t>Downfill</w:t>
      </w:r>
      <w:proofErr w:type="spellEnd"/>
      <w:r w:rsidR="0065103F">
        <w:rPr>
          <w:rFonts w:ascii="Arial" w:hAnsi="Arial" w:cs="Arial"/>
        </w:rPr>
        <w:t xml:space="preserve">-Element und </w:t>
      </w:r>
      <w:r w:rsidR="00B71841" w:rsidRPr="00FA05EC">
        <w:rPr>
          <w:rFonts w:ascii="Arial" w:hAnsi="Arial" w:cs="Arial"/>
        </w:rPr>
        <w:t>spezielle</w:t>
      </w:r>
      <w:r w:rsidR="0065103F">
        <w:rPr>
          <w:rFonts w:ascii="Arial" w:hAnsi="Arial" w:cs="Arial"/>
        </w:rPr>
        <w:t xml:space="preserve"> in Kombination mit der QL</w:t>
      </w:r>
      <w:r w:rsidR="00EB34C5">
        <w:rPr>
          <w:rFonts w:ascii="Arial" w:hAnsi="Arial" w:cs="Arial"/>
        </w:rPr>
        <w:t> </w:t>
      </w:r>
      <w:r w:rsidR="0065103F">
        <w:rPr>
          <w:rFonts w:ascii="Arial" w:hAnsi="Arial" w:cs="Arial"/>
        </w:rPr>
        <w:t>906</w:t>
      </w:r>
      <w:r w:rsidR="00DA2B8E" w:rsidRPr="00FA05EC">
        <w:rPr>
          <w:rFonts w:ascii="Arial" w:hAnsi="Arial" w:cs="Arial"/>
        </w:rPr>
        <w:t xml:space="preserve"> für Anwendungen in Festinstallationen</w:t>
      </w:r>
      <w:r w:rsidR="00B71841" w:rsidRPr="00FA05EC">
        <w:rPr>
          <w:rFonts w:ascii="Arial" w:hAnsi="Arial" w:cs="Arial"/>
        </w:rPr>
        <w:t xml:space="preserve"> geeignet</w:t>
      </w:r>
      <w:r w:rsidR="00DA2B8E" w:rsidRPr="00FA05EC">
        <w:rPr>
          <w:rFonts w:ascii="Arial" w:hAnsi="Arial" w:cs="Arial"/>
        </w:rPr>
        <w:t>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B71841" w:rsidRDefault="008615C4" w:rsidP="00312192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zwei 8</w:t>
      </w:r>
      <w:r w:rsidR="00DA2B8E">
        <w:rPr>
          <w:rFonts w:ascii="Arial" w:hAnsi="Arial" w:cs="Arial"/>
        </w:rPr>
        <w:t xml:space="preserve">“-Mittel-/Tieftonlautsprecher </w:t>
      </w:r>
      <w:r w:rsidR="00B71841">
        <w:rPr>
          <w:rFonts w:ascii="Arial" w:hAnsi="Arial" w:cs="Arial"/>
        </w:rPr>
        <w:t xml:space="preserve">in getrennt geschlossenen Gehäusen </w:t>
      </w:r>
      <w:r w:rsidR="00DA2B8E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 xml:space="preserve">zwei 1“-Druckkammertreiber </w:t>
      </w:r>
      <w:r w:rsidR="00B71841">
        <w:rPr>
          <w:rFonts w:ascii="Arial" w:hAnsi="Arial" w:cs="Arial"/>
        </w:rPr>
        <w:t>mit Wellenformer an ein</w:t>
      </w:r>
      <w:r w:rsidR="00EB34C5">
        <w:rPr>
          <w:rFonts w:ascii="Arial" w:hAnsi="Arial" w:cs="Arial"/>
        </w:rPr>
        <w:t>em</w:t>
      </w:r>
      <w:r w:rsidR="00B71841">
        <w:rPr>
          <w:rFonts w:ascii="Arial" w:hAnsi="Arial" w:cs="Arial"/>
        </w:rPr>
        <w:t xml:space="preserve"> CD-Horn. 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Lautsprechermembranen</w:t>
      </w:r>
      <w:r w:rsidR="00C842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 dauerhaften Schutz gegen Feuchtigkeitseinflüsse.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Holzgehäuse mit kratz- und schlagfester Polyurethan-Beschichtung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(schwarz, optional</w:t>
      </w:r>
      <w:r w:rsidR="005B09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Farben nach RAL-Tabelle).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Höchst schalldurchlässiges Wabengitter mit hinterlegtem Akustikschaum.</w:t>
      </w:r>
    </w:p>
    <w:p w:rsidR="00F23F1A" w:rsidRPr="00F23F1A" w:rsidRDefault="00DA2B8E" w:rsidP="002F0EBE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F23F1A">
        <w:rPr>
          <w:rFonts w:ascii="Arial" w:hAnsi="Arial" w:cs="Arial"/>
        </w:rPr>
        <w:t xml:space="preserve">Integrierte </w:t>
      </w:r>
      <w:r w:rsidR="008925CA" w:rsidRPr="00F23F1A">
        <w:rPr>
          <w:rFonts w:ascii="Arial" w:hAnsi="Arial" w:cs="Arial"/>
        </w:rPr>
        <w:t xml:space="preserve">Hardware </w:t>
      </w:r>
      <w:r w:rsidR="00F23F1A" w:rsidRPr="00F23F1A">
        <w:rPr>
          <w:rFonts w:ascii="Arial" w:hAnsi="Arial" w:cs="Arial"/>
        </w:rPr>
        <w:t>„</w:t>
      </w:r>
      <w:r w:rsidR="008925CA" w:rsidRPr="00F23F1A">
        <w:rPr>
          <w:rFonts w:ascii="Arial" w:hAnsi="Arial" w:cs="Arial"/>
        </w:rPr>
        <w:t>Quick Release</w:t>
      </w:r>
      <w:r w:rsidR="00F23F1A" w:rsidRPr="00F23F1A">
        <w:rPr>
          <w:rFonts w:ascii="Arial" w:hAnsi="Arial" w:cs="Arial"/>
        </w:rPr>
        <w:t>“</w:t>
      </w:r>
      <w:r w:rsidR="008925CA" w:rsidRPr="00F23F1A">
        <w:rPr>
          <w:rFonts w:ascii="Arial" w:hAnsi="Arial" w:cs="Arial"/>
        </w:rPr>
        <w:t>, ermöglichen einen schnellen, einfa</w:t>
      </w:r>
      <w:r w:rsidR="00461363" w:rsidRPr="00F23F1A">
        <w:rPr>
          <w:rFonts w:ascii="Arial" w:hAnsi="Arial" w:cs="Arial"/>
        </w:rPr>
        <w:t xml:space="preserve">chen und unkomplizierten </w:t>
      </w:r>
    </w:p>
    <w:p w:rsidR="008925CA" w:rsidRPr="00F23F1A" w:rsidRDefault="00F23F1A" w:rsidP="002F0EBE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F23F1A">
        <w:rPr>
          <w:rFonts w:ascii="Arial" w:hAnsi="Arial" w:cs="Arial"/>
        </w:rPr>
        <w:t>A</w:t>
      </w:r>
      <w:r w:rsidR="00461363" w:rsidRPr="00F23F1A">
        <w:rPr>
          <w:rFonts w:ascii="Arial" w:hAnsi="Arial" w:cs="Arial"/>
        </w:rPr>
        <w:t>ufbau</w:t>
      </w:r>
      <w:r w:rsidRPr="00F23F1A">
        <w:rPr>
          <w:rFonts w:ascii="Arial" w:hAnsi="Arial" w:cs="Arial"/>
        </w:rPr>
        <w:t xml:space="preserve"> </w:t>
      </w:r>
      <w:r w:rsidR="00461363" w:rsidRPr="00F23F1A">
        <w:rPr>
          <w:rFonts w:ascii="Arial" w:hAnsi="Arial" w:cs="Arial"/>
        </w:rPr>
        <w:t xml:space="preserve">von bis zu 20 Elementen im Flugbetrieb und bis zu 6 Elementen im </w:t>
      </w:r>
      <w:proofErr w:type="spellStart"/>
      <w:r w:rsidR="00461363" w:rsidRPr="00F23F1A">
        <w:rPr>
          <w:rFonts w:ascii="Arial" w:hAnsi="Arial" w:cs="Arial"/>
        </w:rPr>
        <w:t>Groundstack</w:t>
      </w:r>
      <w:r w:rsidR="00002E86" w:rsidRPr="00F23F1A"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>-B</w:t>
      </w:r>
      <w:r w:rsidR="00461363" w:rsidRPr="00F23F1A">
        <w:rPr>
          <w:rFonts w:ascii="Arial" w:hAnsi="Arial" w:cs="Arial"/>
        </w:rPr>
        <w:t>etrieb</w:t>
      </w:r>
    </w:p>
    <w:p w:rsidR="00002E86" w:rsidRPr="00002E86" w:rsidRDefault="00002E86" w:rsidP="002F0EBE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Der Winkel zwischen benachbarten Lautsprechern kann im Bereich von 0</w:t>
      </w:r>
      <w:r w:rsidR="00EB34C5">
        <w:rPr>
          <w:rFonts w:ascii="Arial" w:hAnsi="Arial" w:cs="Arial"/>
        </w:rPr>
        <w:t>° </w:t>
      </w:r>
      <w:r>
        <w:rPr>
          <w:rFonts w:ascii="Arial" w:hAnsi="Arial" w:cs="Arial"/>
        </w:rPr>
        <w:t>-</w:t>
      </w:r>
      <w:r w:rsidR="00EB34C5">
        <w:rPr>
          <w:rFonts w:ascii="Arial" w:hAnsi="Arial" w:cs="Arial"/>
        </w:rPr>
        <w:t> </w:t>
      </w:r>
      <w:r w:rsidR="0065103F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° in </w:t>
      </w:r>
      <w:r w:rsidR="00EB34C5">
        <w:rPr>
          <w:rFonts w:ascii="Arial" w:hAnsi="Arial" w:cs="Arial"/>
        </w:rPr>
        <w:t>1 </w:t>
      </w:r>
      <w:r>
        <w:rPr>
          <w:rFonts w:ascii="Arial" w:hAnsi="Arial" w:cs="Arial"/>
        </w:rPr>
        <w:t xml:space="preserve">Grad-Schritten </w:t>
      </w:r>
    </w:p>
    <w:p w:rsidR="00002E86" w:rsidRPr="008925CA" w:rsidRDefault="00002E86" w:rsidP="002F0EBE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eingestellt werden.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 xml:space="preserve">): </w:t>
      </w:r>
      <w:r w:rsidR="00FA05EC">
        <w:rPr>
          <w:rFonts w:ascii="Arial" w:hAnsi="Arial" w:cs="Arial"/>
          <w:color w:val="000000"/>
        </w:rPr>
        <w:t>400</w:t>
      </w:r>
      <w:r w:rsidR="00945A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 / </w:t>
      </w:r>
      <w:r w:rsidR="00FA05EC">
        <w:rPr>
          <w:rFonts w:ascii="Arial" w:hAnsi="Arial" w:cs="Arial"/>
          <w:color w:val="000000"/>
        </w:rPr>
        <w:t>1600</w:t>
      </w:r>
      <w:r>
        <w:rPr>
          <w:rFonts w:ascii="Arial" w:hAnsi="Arial" w:cs="Arial"/>
          <w:color w:val="000000"/>
        </w:rPr>
        <w:t xml:space="preserve"> W 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</w:t>
      </w:r>
      <w:r w:rsidR="00FA05EC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Ω 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Frequenzgang</w:t>
      </w:r>
      <w:r w:rsidR="00FA05EC">
        <w:rPr>
          <w:rFonts w:ascii="Arial" w:hAnsi="Arial" w:cs="Arial"/>
          <w:color w:val="000000"/>
        </w:rPr>
        <w:t xml:space="preserve"> (-6 dB)</w:t>
      </w:r>
      <w:r>
        <w:rPr>
          <w:rFonts w:ascii="Arial" w:hAnsi="Arial" w:cs="Arial"/>
          <w:color w:val="000000"/>
        </w:rPr>
        <w:t xml:space="preserve">: </w:t>
      </w:r>
      <w:r w:rsidR="00FA05EC">
        <w:rPr>
          <w:rFonts w:ascii="Arial" w:hAnsi="Arial" w:cs="Arial"/>
          <w:color w:val="000000"/>
        </w:rPr>
        <w:t>80</w:t>
      </w:r>
      <w:r>
        <w:rPr>
          <w:rFonts w:ascii="Arial" w:hAnsi="Arial" w:cs="Arial"/>
          <w:color w:val="000000"/>
        </w:rPr>
        <w:t xml:space="preserve"> Hz - </w:t>
      </w:r>
      <w:r w:rsidR="00FA05EC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kHz </w:t>
      </w:r>
    </w:p>
    <w:p w:rsidR="00F23F1A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Schalldruckpegel </w:t>
      </w:r>
      <w:proofErr w:type="spellStart"/>
      <w:r>
        <w:rPr>
          <w:rFonts w:ascii="Arial" w:hAnsi="Arial" w:cs="Arial"/>
          <w:color w:val="000000"/>
        </w:rPr>
        <w:t>nom</w:t>
      </w:r>
      <w:proofErr w:type="spellEnd"/>
      <w:r w:rsidR="009C395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9C3956">
        <w:rPr>
          <w:rFonts w:ascii="Arial" w:hAnsi="Arial" w:cs="Arial"/>
          <w:color w:val="000000"/>
        </w:rPr>
        <w:t>(Fullspace@</w:t>
      </w:r>
      <w:r>
        <w:rPr>
          <w:rFonts w:ascii="Arial" w:hAnsi="Arial" w:cs="Arial"/>
          <w:color w:val="000000"/>
        </w:rPr>
        <w:t>1W/1m</w:t>
      </w:r>
      <w:r w:rsidR="009C3956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/ </w:t>
      </w:r>
      <w:r w:rsidR="009C3956">
        <w:rPr>
          <w:rFonts w:ascii="Arial" w:hAnsi="Arial" w:cs="Arial"/>
          <w:color w:val="000000"/>
        </w:rPr>
        <w:t>max. SPL (bei Nennbelastbarkeit)</w:t>
      </w:r>
      <w:r>
        <w:rPr>
          <w:rFonts w:ascii="Arial" w:hAnsi="Arial" w:cs="Arial"/>
          <w:color w:val="000000"/>
        </w:rPr>
        <w:t>: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A05EC">
        <w:rPr>
          <w:rFonts w:ascii="Arial" w:hAnsi="Arial" w:cs="Arial"/>
          <w:color w:val="000000"/>
        </w:rPr>
        <w:t>98</w:t>
      </w:r>
      <w:r>
        <w:rPr>
          <w:rFonts w:ascii="Arial" w:hAnsi="Arial" w:cs="Arial"/>
          <w:color w:val="000000"/>
        </w:rPr>
        <w:t xml:space="preserve"> / </w:t>
      </w:r>
      <w:r w:rsidR="009C3956">
        <w:rPr>
          <w:rFonts w:ascii="Arial" w:hAnsi="Arial" w:cs="Arial"/>
          <w:color w:val="000000"/>
        </w:rPr>
        <w:t>135</w:t>
      </w:r>
      <w:r>
        <w:rPr>
          <w:rFonts w:ascii="Arial" w:hAnsi="Arial" w:cs="Arial"/>
          <w:color w:val="000000"/>
        </w:rPr>
        <w:t xml:space="preserve"> dB</w:t>
      </w:r>
      <w:r w:rsidR="009C3956">
        <w:rPr>
          <w:rFonts w:ascii="Arial" w:hAnsi="Arial" w:cs="Arial"/>
          <w:color w:val="000000"/>
        </w:rPr>
        <w:t xml:space="preserve"> (3 Units im Winkel von 0°)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Abstrahlwinkel (h x v): </w:t>
      </w:r>
      <w:r w:rsidR="00953F50">
        <w:rPr>
          <w:rFonts w:ascii="Arial" w:hAnsi="Arial" w:cs="Arial"/>
          <w:color w:val="000000"/>
        </w:rPr>
        <w:t>120</w:t>
      </w:r>
      <w:r w:rsidR="009C3956">
        <w:rPr>
          <w:rFonts w:ascii="Arial" w:hAnsi="Arial" w:cs="Arial"/>
          <w:color w:val="000000"/>
        </w:rPr>
        <w:t>°x</w:t>
      </w:r>
      <w:r w:rsidR="00953F50">
        <w:rPr>
          <w:rFonts w:ascii="Arial" w:hAnsi="Arial" w:cs="Arial"/>
          <w:color w:val="000000"/>
        </w:rPr>
        <w:t>15</w:t>
      </w:r>
      <w:r w:rsidR="009C3956">
        <w:rPr>
          <w:rFonts w:ascii="Arial" w:hAnsi="Arial" w:cs="Arial"/>
          <w:color w:val="000000"/>
        </w:rPr>
        <w:t>°</w:t>
      </w:r>
    </w:p>
    <w:p w:rsidR="00DA2B8E" w:rsidRDefault="00DA2B8E" w:rsidP="0027106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Anschluss: </w:t>
      </w:r>
      <w:r w:rsidR="006C0EFA">
        <w:rPr>
          <w:rFonts w:ascii="Arial" w:hAnsi="Arial" w:cs="Arial"/>
          <w:color w:val="000000"/>
        </w:rPr>
        <w:t xml:space="preserve">Wechselanschlussfeld </w:t>
      </w:r>
      <w:r>
        <w:rPr>
          <w:rFonts w:ascii="Arial" w:hAnsi="Arial" w:cs="Arial"/>
          <w:color w:val="000000"/>
        </w:rPr>
        <w:t xml:space="preserve">2x </w:t>
      </w:r>
      <w:proofErr w:type="spellStart"/>
      <w:r>
        <w:rPr>
          <w:rFonts w:ascii="Arial" w:hAnsi="Arial" w:cs="Arial"/>
          <w:color w:val="000000"/>
        </w:rPr>
        <w:t>Neutrik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Speakon</w:t>
      </w:r>
      <w:proofErr w:type="spellEnd"/>
      <w:r w:rsidR="00271065">
        <w:rPr>
          <w:rFonts w:ascii="Arial" w:hAnsi="Arial" w:cs="Arial"/>
          <w:color w:val="000000"/>
        </w:rPr>
        <w:t xml:space="preserve"> NL4</w:t>
      </w:r>
      <w:r>
        <w:rPr>
          <w:rFonts w:ascii="Arial" w:hAnsi="Arial" w:cs="Arial"/>
          <w:color w:val="000000"/>
        </w:rPr>
        <w:t xml:space="preserve"> (In/Out) </w:t>
      </w:r>
    </w:p>
    <w:p w:rsidR="00271065" w:rsidRPr="00271065" w:rsidRDefault="00DA2B8E" w:rsidP="00271065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271065">
        <w:rPr>
          <w:rFonts w:ascii="Arial" w:hAnsi="Arial" w:cs="Arial"/>
          <w:color w:val="000000"/>
        </w:rPr>
        <w:t>Maße (B x H x T):</w:t>
      </w:r>
      <w:r w:rsidR="009C3956">
        <w:rPr>
          <w:rFonts w:ascii="Arial" w:hAnsi="Arial" w:cs="Arial"/>
          <w:color w:val="000000"/>
        </w:rPr>
        <w:t>600</w:t>
      </w:r>
      <w:r w:rsidRPr="00271065">
        <w:rPr>
          <w:rFonts w:ascii="Arial" w:hAnsi="Arial" w:cs="Arial"/>
          <w:color w:val="000000"/>
        </w:rPr>
        <w:t>x</w:t>
      </w:r>
      <w:r w:rsidR="009C3956">
        <w:rPr>
          <w:rFonts w:ascii="Arial" w:hAnsi="Arial" w:cs="Arial"/>
          <w:color w:val="000000"/>
        </w:rPr>
        <w:t>245</w:t>
      </w:r>
      <w:r w:rsidRPr="00271065">
        <w:rPr>
          <w:rFonts w:ascii="Arial" w:hAnsi="Arial" w:cs="Arial"/>
          <w:color w:val="000000"/>
        </w:rPr>
        <w:t>x</w:t>
      </w:r>
      <w:r w:rsidR="009C3956">
        <w:rPr>
          <w:rFonts w:ascii="Arial" w:hAnsi="Arial" w:cs="Arial"/>
          <w:color w:val="000000"/>
        </w:rPr>
        <w:t>383mm</w:t>
      </w:r>
    </w:p>
    <w:p w:rsidR="00DA2B8E" w:rsidRPr="00271065" w:rsidRDefault="00271065" w:rsidP="00271065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G</w:t>
      </w:r>
      <w:r w:rsidR="00DA2B8E" w:rsidRPr="00271065">
        <w:rPr>
          <w:rFonts w:ascii="Arial" w:hAnsi="Arial" w:cs="Arial"/>
          <w:color w:val="000000"/>
        </w:rPr>
        <w:t xml:space="preserve">ewicht: </w:t>
      </w:r>
      <w:r>
        <w:rPr>
          <w:rFonts w:ascii="Arial" w:hAnsi="Arial" w:cs="Arial"/>
          <w:color w:val="000000"/>
        </w:rPr>
        <w:t>2</w:t>
      </w:r>
      <w:r w:rsidR="001D2629" w:rsidRPr="00271065">
        <w:rPr>
          <w:rFonts w:ascii="Arial" w:hAnsi="Arial" w:cs="Arial"/>
          <w:color w:val="000000"/>
        </w:rPr>
        <w:t>3</w:t>
      </w:r>
      <w:r w:rsidR="00DA2B8E" w:rsidRPr="00271065">
        <w:rPr>
          <w:rFonts w:ascii="Arial" w:hAnsi="Arial" w:cs="Arial"/>
          <w:color w:val="000000"/>
        </w:rPr>
        <w:t xml:space="preserve"> kg</w:t>
      </w:r>
      <w:r w:rsidR="00DA2B8E" w:rsidRPr="00271065">
        <w:rPr>
          <w:rFonts w:ascii="Arial" w:hAnsi="Arial" w:cs="Arial"/>
          <w:color w:val="000000"/>
        </w:rPr>
        <w:tab/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K.M.E. - DA 428 mit </w:t>
      </w:r>
      <w:proofErr w:type="spellStart"/>
      <w:r>
        <w:rPr>
          <w:rFonts w:ascii="Arial" w:hAnsi="Arial" w:cs="Arial"/>
          <w:color w:val="000000"/>
        </w:rPr>
        <w:t>Systempreset</w:t>
      </w:r>
      <w:proofErr w:type="spellEnd"/>
      <w:r>
        <w:rPr>
          <w:rFonts w:ascii="Arial" w:hAnsi="Arial" w:cs="Arial"/>
          <w:color w:val="000000"/>
        </w:rPr>
        <w:t xml:space="preserve"> für optimale Betriebssicherheit und Systementzerrung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Optionen: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Beschichtung aller Farben nach RAL-Tabelle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Erhöhung der Feuchtraumeignung</w:t>
      </w:r>
    </w:p>
    <w:p w:rsidR="00DA2B8E" w:rsidRDefault="0027106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Wechsela</w:t>
      </w:r>
      <w:r w:rsidR="00DA2B8E">
        <w:rPr>
          <w:rFonts w:ascii="Arial" w:hAnsi="Arial" w:cs="Arial"/>
        </w:rPr>
        <w:t xml:space="preserve">nschlussfeld mit </w:t>
      </w:r>
      <w:r>
        <w:rPr>
          <w:rFonts w:ascii="Arial" w:hAnsi="Arial" w:cs="Arial"/>
        </w:rPr>
        <w:t>NL8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Optionales </w:t>
      </w:r>
      <w:r w:rsidR="00D635D9">
        <w:rPr>
          <w:rFonts w:ascii="Arial" w:hAnsi="Arial" w:cs="Arial"/>
          <w:b/>
          <w:color w:val="000000"/>
        </w:rPr>
        <w:t>Z</w:t>
      </w:r>
      <w:r>
        <w:rPr>
          <w:rFonts w:ascii="Arial" w:hAnsi="Arial" w:cs="Arial"/>
          <w:b/>
          <w:color w:val="000000"/>
        </w:rPr>
        <w:t>ubehör:</w:t>
      </w:r>
    </w:p>
    <w:p w:rsidR="00DA2B8E" w:rsidRPr="00D635D9" w:rsidRDefault="0027106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Flugrahmen TB</w:t>
      </w:r>
      <w:r w:rsidR="00EB34C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500 und Lastadapter</w:t>
      </w:r>
    </w:p>
    <w:p w:rsidR="00D635D9" w:rsidRDefault="00D635D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Breakoutbox</w:t>
      </w:r>
    </w:p>
    <w:p w:rsidR="00D635D9" w:rsidRDefault="00D635D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NL8 Systemkabel</w:t>
      </w:r>
    </w:p>
    <w:p w:rsidR="00D635D9" w:rsidRDefault="00D635D9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lang w:val="en-GB"/>
        </w:rPr>
        <w:t>Hersteller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K.M.E.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Typ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</w:t>
      </w:r>
      <w:r w:rsidR="00EB34C5">
        <w:rPr>
          <w:rFonts w:ascii="Arial" w:hAnsi="Arial" w:cs="Arial"/>
          <w:lang w:val="en-GB"/>
        </w:rPr>
        <w:t>QL 1215</w:t>
      </w:r>
    </w:p>
    <w:p w:rsidR="00DA2B8E" w:rsidRDefault="00DA2B8E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  <w:r>
        <w:rPr>
          <w:rFonts w:ascii="Arial" w:hAnsi="Arial" w:cs="Arial"/>
          <w:b/>
          <w:bCs/>
        </w:rPr>
        <w:t xml:space="preserve">Artikelnummern: </w:t>
      </w:r>
      <w:r w:rsidR="00F23F1A" w:rsidRPr="00606BEE">
        <w:rPr>
          <w:rFonts w:ascii="Arial" w:hAnsi="Arial" w:cs="Arial"/>
          <w:bCs/>
        </w:rPr>
        <w:t>1-114-00</w:t>
      </w:r>
      <w:r w:rsidR="00953F50" w:rsidRPr="00606BEE">
        <w:rPr>
          <w:rFonts w:ascii="Arial" w:hAnsi="Arial" w:cs="Arial"/>
          <w:bCs/>
        </w:rPr>
        <w:t>3</w:t>
      </w:r>
      <w:r w:rsidRPr="00606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(schwarz)</w:t>
      </w:r>
      <w:r>
        <w:rPr>
          <w:rFonts w:ascii="Arial" w:hAnsi="Arial" w:cs="Arial"/>
          <w:sz w:val="2"/>
        </w:rPr>
        <w:t xml:space="preserve">?)  </w:t>
      </w: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cs="Helvetica"/>
          <w:sz w:val="2"/>
        </w:rPr>
      </w:pPr>
    </w:p>
    <w:p w:rsidR="00DA2B8E" w:rsidRDefault="00DA2B8E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DA2B8E" w:rsidRDefault="00DA2B8E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lang w:val="it-IT"/>
        </w:rPr>
        <w:t>Telefon</w:t>
      </w:r>
      <w:proofErr w:type="spellEnd"/>
      <w:r>
        <w:rPr>
          <w:rFonts w:ascii="Arial" w:hAnsi="Arial" w:cs="Arial"/>
          <w:sz w:val="16"/>
          <w:lang w:val="it-IT"/>
        </w:rPr>
        <w:t xml:space="preserve"> +49 (0)3 74 67 / 5 58-0, Telefax +49 (0)3 74 67 / 5 58-33, E-Mail info@kme-sound.com</w:t>
      </w:r>
    </w:p>
    <w:p w:rsidR="00DA2B8E" w:rsidRDefault="00DA2B8E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0" w:name="_1262585034"/>
        <w:bookmarkEnd w:id="0"/>
      </w:hyperlink>
      <w:r w:rsidR="004F0890">
        <w:rPr>
          <w:rStyle w:val="Hyperlink"/>
          <w:rFonts w:ascii="Arial" w:hAnsi="Arial" w:cs="Arial"/>
          <w:sz w:val="16"/>
          <w:szCs w:val="16"/>
        </w:rPr>
        <w:t xml:space="preserve">, </w:t>
      </w:r>
      <w:r w:rsidR="00D635D9">
        <w:rPr>
          <w:rStyle w:val="Hyperlink"/>
          <w:rFonts w:ascii="Arial" w:hAnsi="Arial" w:cs="Arial"/>
          <w:sz w:val="16"/>
          <w:szCs w:val="16"/>
        </w:rPr>
        <w:t>2</w:t>
      </w:r>
      <w:r w:rsidR="00F23F1A">
        <w:rPr>
          <w:rStyle w:val="Hyperlink"/>
          <w:rFonts w:ascii="Arial" w:hAnsi="Arial" w:cs="Arial"/>
          <w:sz w:val="16"/>
          <w:szCs w:val="16"/>
        </w:rPr>
        <w:t>1</w:t>
      </w:r>
      <w:r w:rsidR="00D635D9">
        <w:rPr>
          <w:rStyle w:val="Hyperlink"/>
          <w:rFonts w:ascii="Arial" w:hAnsi="Arial" w:cs="Arial"/>
          <w:sz w:val="16"/>
          <w:szCs w:val="16"/>
        </w:rPr>
        <w:t>.08.</w:t>
      </w:r>
      <w:r w:rsidR="004F0890">
        <w:rPr>
          <w:rStyle w:val="Hyperlink"/>
          <w:rFonts w:ascii="Arial" w:hAnsi="Arial" w:cs="Arial"/>
          <w:sz w:val="16"/>
          <w:szCs w:val="16"/>
        </w:rPr>
        <w:t>2018</w:t>
      </w:r>
    </w:p>
    <w:sectPr w:rsidR="00DA2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8E" w:rsidRDefault="00DA2B8E">
      <w:r>
        <w:separator/>
      </w:r>
    </w:p>
  </w:endnote>
  <w:endnote w:type="continuationSeparator" w:id="0">
    <w:p w:rsidR="00DA2B8E" w:rsidRDefault="00DA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288" w:rsidRDefault="009F02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DA2B8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DA2B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8E" w:rsidRDefault="00DA2B8E">
      <w:r>
        <w:separator/>
      </w:r>
    </w:p>
  </w:footnote>
  <w:footnote w:type="continuationSeparator" w:id="0">
    <w:p w:rsidR="00DA2B8E" w:rsidRDefault="00DA2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288" w:rsidRDefault="009F02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EB34C5">
    <w:pPr>
      <w:pStyle w:val="Kopfzeile"/>
      <w:jc w:val="center"/>
    </w:pPr>
    <w:bookmarkStart w:id="1" w:name="_GoBack"/>
    <w:r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2484215</wp:posOffset>
          </wp:positionH>
          <wp:positionV relativeFrom="paragraph">
            <wp:posOffset>2341</wp:posOffset>
          </wp:positionV>
          <wp:extent cx="1073785" cy="107378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DA2B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6E"/>
    <w:rsid w:val="00002E86"/>
    <w:rsid w:val="00027F02"/>
    <w:rsid w:val="001D2629"/>
    <w:rsid w:val="00271065"/>
    <w:rsid w:val="002D03E8"/>
    <w:rsid w:val="002F0EBE"/>
    <w:rsid w:val="00312192"/>
    <w:rsid w:val="003154DD"/>
    <w:rsid w:val="00461363"/>
    <w:rsid w:val="004F0890"/>
    <w:rsid w:val="00595F10"/>
    <w:rsid w:val="005B09DE"/>
    <w:rsid w:val="00606BEE"/>
    <w:rsid w:val="0062646E"/>
    <w:rsid w:val="0065103F"/>
    <w:rsid w:val="006C0EFA"/>
    <w:rsid w:val="007702F4"/>
    <w:rsid w:val="008615C4"/>
    <w:rsid w:val="008925CA"/>
    <w:rsid w:val="00945A09"/>
    <w:rsid w:val="00953F50"/>
    <w:rsid w:val="00992BC5"/>
    <w:rsid w:val="009C3956"/>
    <w:rsid w:val="009F0288"/>
    <w:rsid w:val="00B71841"/>
    <w:rsid w:val="00C64937"/>
    <w:rsid w:val="00C84246"/>
    <w:rsid w:val="00CA6B25"/>
    <w:rsid w:val="00D635D9"/>
    <w:rsid w:val="00DA2B8E"/>
    <w:rsid w:val="00E36027"/>
    <w:rsid w:val="00EB34C5"/>
    <w:rsid w:val="00F23F1A"/>
    <w:rsid w:val="00FA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F71A99C7-4941-4275-ADAE-6254840E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PANO QL 1215</vt:lpstr>
    </vt:vector>
  </TitlesOfParts>
  <Company/>
  <LinksUpToDate>false</LinksUpToDate>
  <CharactersWithSpaces>2141</CharactersWithSpaces>
  <SharedDoc>false</SharedDoc>
  <HLinks>
    <vt:vector size="6" baseType="variant"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http://www.kme-sound.com/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PANO QL 1215</dc:title>
  <dc:subject/>
  <dc:creator>K.M.E. Klingenthaler Musikelektronik GmbH</dc:creator>
  <cp:keywords/>
  <dc:description/>
  <cp:lastModifiedBy>Friedemann Leutsch</cp:lastModifiedBy>
  <cp:revision>9</cp:revision>
  <cp:lastPrinted>2014-02-03T09:44:00Z</cp:lastPrinted>
  <dcterms:created xsi:type="dcterms:W3CDTF">2018-08-21T07:08:00Z</dcterms:created>
  <dcterms:modified xsi:type="dcterms:W3CDTF">2019-02-14T10:09:00Z</dcterms:modified>
</cp:coreProperties>
</file>